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0E" w:rsidRPr="009B790E" w:rsidRDefault="009B790E" w:rsidP="009B790E">
      <w:pPr>
        <w:jc w:val="center"/>
        <w:rPr>
          <w:b/>
          <w:sz w:val="28"/>
        </w:rPr>
      </w:pPr>
      <w:bookmarkStart w:id="0" w:name="_GoBack"/>
      <w:bookmarkEnd w:id="0"/>
      <w:r w:rsidRPr="009B790E">
        <w:rPr>
          <w:b/>
          <w:sz w:val="28"/>
        </w:rPr>
        <w:t xml:space="preserve">Currently </w:t>
      </w:r>
      <w:r>
        <w:rPr>
          <w:b/>
          <w:sz w:val="28"/>
        </w:rPr>
        <w:t xml:space="preserve">Listed </w:t>
      </w:r>
      <w:r w:rsidRPr="009B790E">
        <w:rPr>
          <w:b/>
          <w:sz w:val="28"/>
        </w:rPr>
        <w:t>Adverse Incident Reporting</w:t>
      </w:r>
      <w:r>
        <w:rPr>
          <w:b/>
          <w:sz w:val="28"/>
        </w:rPr>
        <w:t xml:space="preserve"> Categories</w:t>
      </w:r>
    </w:p>
    <w:p w:rsidR="009B790E" w:rsidRDefault="00430FEE" w:rsidP="009B790E">
      <w:pPr>
        <w:jc w:val="center"/>
      </w:pPr>
      <w:r>
        <w:t>August 22, 2016</w:t>
      </w:r>
    </w:p>
    <w:tbl>
      <w:tblPr>
        <w:tblStyle w:val="TableGrid"/>
        <w:tblW w:w="0" w:type="auto"/>
        <w:tblLook w:val="04A0" w:firstRow="1" w:lastRow="0" w:firstColumn="1" w:lastColumn="0" w:noHBand="0" w:noVBand="1"/>
      </w:tblPr>
      <w:tblGrid>
        <w:gridCol w:w="911"/>
        <w:gridCol w:w="897"/>
        <w:gridCol w:w="5517"/>
        <w:gridCol w:w="7065"/>
      </w:tblGrid>
      <w:tr w:rsidR="002045E8" w:rsidRPr="009B790E" w:rsidTr="009B790E">
        <w:trPr>
          <w:tblHeader/>
        </w:trPr>
        <w:tc>
          <w:tcPr>
            <w:tcW w:w="918" w:type="dxa"/>
          </w:tcPr>
          <w:p w:rsidR="002045E8" w:rsidRPr="009B790E" w:rsidRDefault="002045E8" w:rsidP="002045E8">
            <w:pPr>
              <w:jc w:val="center"/>
              <w:rPr>
                <w:b/>
                <w:szCs w:val="24"/>
              </w:rPr>
            </w:pPr>
            <w:r w:rsidRPr="009B790E">
              <w:rPr>
                <w:b/>
                <w:szCs w:val="24"/>
              </w:rPr>
              <w:t>BHS</w:t>
            </w:r>
          </w:p>
        </w:tc>
        <w:tc>
          <w:tcPr>
            <w:tcW w:w="900" w:type="dxa"/>
          </w:tcPr>
          <w:p w:rsidR="002045E8" w:rsidRPr="009B790E" w:rsidRDefault="002045E8" w:rsidP="002045E8">
            <w:pPr>
              <w:jc w:val="center"/>
              <w:rPr>
                <w:b/>
                <w:szCs w:val="24"/>
              </w:rPr>
            </w:pPr>
            <w:r w:rsidRPr="009B790E">
              <w:rPr>
                <w:b/>
                <w:szCs w:val="24"/>
              </w:rPr>
              <w:t>HCBS</w:t>
            </w:r>
          </w:p>
        </w:tc>
        <w:tc>
          <w:tcPr>
            <w:tcW w:w="5601" w:type="dxa"/>
          </w:tcPr>
          <w:p w:rsidR="002045E8" w:rsidRPr="009B790E" w:rsidRDefault="002045E8" w:rsidP="002045E8">
            <w:pPr>
              <w:jc w:val="center"/>
              <w:rPr>
                <w:b/>
                <w:szCs w:val="24"/>
              </w:rPr>
            </w:pPr>
            <w:r w:rsidRPr="009B790E">
              <w:rPr>
                <w:b/>
                <w:szCs w:val="24"/>
              </w:rPr>
              <w:t>OPTION</w:t>
            </w:r>
          </w:p>
        </w:tc>
        <w:tc>
          <w:tcPr>
            <w:tcW w:w="7179" w:type="dxa"/>
          </w:tcPr>
          <w:p w:rsidR="002045E8" w:rsidRPr="009B790E" w:rsidRDefault="002045E8" w:rsidP="002045E8">
            <w:pPr>
              <w:jc w:val="center"/>
              <w:rPr>
                <w:b/>
                <w:szCs w:val="24"/>
              </w:rPr>
            </w:pPr>
            <w:r w:rsidRPr="009B790E">
              <w:rPr>
                <w:b/>
                <w:szCs w:val="24"/>
              </w:rPr>
              <w:t>DEFINITION</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B7C3A" w:rsidP="002B7C3A">
            <w:pPr>
              <w:rPr>
                <w:szCs w:val="24"/>
              </w:rPr>
            </w:pPr>
            <w:r>
              <w:rPr>
                <w:rFonts w:eastAsia="Times New Roman" w:cs="Times New Roman"/>
                <w:szCs w:val="24"/>
              </w:rPr>
              <w:t>Abuse:</w:t>
            </w:r>
          </w:p>
        </w:tc>
        <w:tc>
          <w:tcPr>
            <w:tcW w:w="7179" w:type="dxa"/>
          </w:tcPr>
          <w:p w:rsidR="002B7C3A" w:rsidRDefault="002B7C3A" w:rsidP="002B7C3A">
            <w:pPr>
              <w:pStyle w:val="ksastat"/>
              <w:ind w:firstLine="0"/>
            </w:pPr>
            <w:r>
              <w:t xml:space="preserve">Any act or failure to act performed intentionally or recklessly that causes or is likely to cause harm to a consumer, including: (1) infliction of physical or mental injury; (2) any sexual act with a consumer that does not consent or when the other person knows or should know that the consumer is incapable of resisting or declining consent to the sexual act due to mental deficiency or disease or due to fear of retribution or hardship; (3) unreasonable use of a physical restraint, isolation or medication that harms or is likely to the consumer; (4) unreasonable use of a physical or chemical restraint, medication or isolation as punishment, for convenience, in conflict with a physician's orders or as a substitute for treatment, except where such conduct or physical restraint is in furtherance of the health and safety of the consumer or another individual; (5) a threat or menacing conduct directed toward the consumer that results or might reasonably be expected to result in fear or emotional or mental distress to the consumer; (6) fiduciary abuse; or (7) omission or deprivation by a caretaker or another person of goods or services which are necessary to avoid physical or mental harm or illness. </w:t>
            </w:r>
          </w:p>
          <w:p w:rsidR="002045E8" w:rsidRPr="009B790E" w:rsidRDefault="002045E8" w:rsidP="002045E8">
            <w:pPr>
              <w:rPr>
                <w:szCs w:val="24"/>
              </w:rPr>
            </w:pPr>
          </w:p>
        </w:tc>
      </w:tr>
      <w:tr w:rsidR="002B7C3A" w:rsidRPr="009B790E" w:rsidTr="002045E8">
        <w:tc>
          <w:tcPr>
            <w:tcW w:w="918" w:type="dxa"/>
          </w:tcPr>
          <w:p w:rsidR="002B7C3A" w:rsidRPr="009B790E" w:rsidRDefault="002B7C3A" w:rsidP="002045E8">
            <w:pPr>
              <w:rPr>
                <w:szCs w:val="24"/>
              </w:rPr>
            </w:pPr>
          </w:p>
        </w:tc>
        <w:tc>
          <w:tcPr>
            <w:tcW w:w="900" w:type="dxa"/>
          </w:tcPr>
          <w:p w:rsidR="002B7C3A" w:rsidRPr="009B790E" w:rsidRDefault="002B7C3A" w:rsidP="002045E8">
            <w:pPr>
              <w:rPr>
                <w:szCs w:val="24"/>
              </w:rPr>
            </w:pPr>
          </w:p>
        </w:tc>
        <w:tc>
          <w:tcPr>
            <w:tcW w:w="5601" w:type="dxa"/>
          </w:tcPr>
          <w:p w:rsidR="002B7C3A" w:rsidRPr="009B790E" w:rsidRDefault="002B7C3A" w:rsidP="002045E8">
            <w:pPr>
              <w:rPr>
                <w:szCs w:val="24"/>
              </w:rPr>
            </w:pPr>
            <w:r>
              <w:rPr>
                <w:szCs w:val="24"/>
              </w:rPr>
              <w:t>Death:</w:t>
            </w:r>
          </w:p>
        </w:tc>
        <w:tc>
          <w:tcPr>
            <w:tcW w:w="7179" w:type="dxa"/>
          </w:tcPr>
          <w:p w:rsidR="002B7C3A" w:rsidRPr="009B790E" w:rsidRDefault="002B7C3A" w:rsidP="002B7C3A">
            <w:pPr>
              <w:rPr>
                <w:rStyle w:val="instructiontext"/>
                <w:szCs w:val="24"/>
              </w:rPr>
            </w:pPr>
            <w:r>
              <w:rPr>
                <w:rStyle w:val="instructiontext"/>
                <w:szCs w:val="24"/>
              </w:rPr>
              <w:t>Cessation of a consumer’s life.</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Elopement</w:t>
            </w:r>
            <w:r w:rsidR="002B7C3A">
              <w:rPr>
                <w:szCs w:val="24"/>
              </w:rPr>
              <w:t>:</w:t>
            </w:r>
          </w:p>
        </w:tc>
        <w:tc>
          <w:tcPr>
            <w:tcW w:w="7179" w:type="dxa"/>
          </w:tcPr>
          <w:p w:rsidR="002045E8" w:rsidRPr="009B790E" w:rsidRDefault="002B7C3A" w:rsidP="002B7C3A">
            <w:pPr>
              <w:rPr>
                <w:szCs w:val="24"/>
              </w:rPr>
            </w:pPr>
            <w:r>
              <w:rPr>
                <w:rStyle w:val="instructiontext"/>
                <w:szCs w:val="24"/>
              </w:rPr>
              <w:t>The unplanned departure from a</w:t>
            </w:r>
            <w:r w:rsidRPr="009B790E">
              <w:rPr>
                <w:rStyle w:val="instructiontext"/>
                <w:szCs w:val="24"/>
              </w:rPr>
              <w:t xml:space="preserve"> unit or facility where </w:t>
            </w:r>
            <w:r>
              <w:rPr>
                <w:rStyle w:val="instructiontext"/>
                <w:szCs w:val="24"/>
              </w:rPr>
              <w:t>the consumer</w:t>
            </w:r>
            <w:r w:rsidRPr="009B790E">
              <w:rPr>
                <w:rStyle w:val="instructiontext"/>
                <w:szCs w:val="24"/>
              </w:rPr>
              <w:t xml:space="preserve"> leaves without prior notification or permission or staff escort.</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rFonts w:eastAsia="Times New Roman" w:cs="Times New Roman"/>
                <w:szCs w:val="24"/>
              </w:rPr>
              <w:t>ER/ Hospitalization</w:t>
            </w:r>
            <w:r w:rsidR="002B7C3A">
              <w:rPr>
                <w:rFonts w:eastAsia="Times New Roman" w:cs="Times New Roman"/>
                <w:szCs w:val="24"/>
              </w:rPr>
              <w:t>:</w:t>
            </w:r>
          </w:p>
        </w:tc>
        <w:tc>
          <w:tcPr>
            <w:tcW w:w="7179" w:type="dxa"/>
          </w:tcPr>
          <w:p w:rsidR="002045E8" w:rsidRPr="009B790E" w:rsidRDefault="002045E8" w:rsidP="002045E8">
            <w:pPr>
              <w:rPr>
                <w:szCs w:val="24"/>
              </w:rPr>
            </w:pPr>
          </w:p>
        </w:tc>
      </w:tr>
      <w:tr w:rsidR="002B7C3A" w:rsidRPr="009B790E" w:rsidTr="002045E8">
        <w:tc>
          <w:tcPr>
            <w:tcW w:w="918" w:type="dxa"/>
          </w:tcPr>
          <w:p w:rsidR="002B7C3A" w:rsidRPr="009B790E" w:rsidRDefault="002B7C3A" w:rsidP="002045E8">
            <w:pPr>
              <w:rPr>
                <w:szCs w:val="24"/>
              </w:rPr>
            </w:pPr>
          </w:p>
        </w:tc>
        <w:tc>
          <w:tcPr>
            <w:tcW w:w="900" w:type="dxa"/>
          </w:tcPr>
          <w:p w:rsidR="002B7C3A" w:rsidRPr="009B790E" w:rsidRDefault="002B7C3A" w:rsidP="002045E8">
            <w:pPr>
              <w:rPr>
                <w:szCs w:val="24"/>
              </w:rPr>
            </w:pPr>
          </w:p>
        </w:tc>
        <w:tc>
          <w:tcPr>
            <w:tcW w:w="5601" w:type="dxa"/>
          </w:tcPr>
          <w:p w:rsidR="002B7C3A" w:rsidRPr="009B790E" w:rsidRDefault="002B7C3A" w:rsidP="002045E8">
            <w:pPr>
              <w:rPr>
                <w:rFonts w:eastAsia="Times New Roman" w:cs="Times New Roman"/>
                <w:szCs w:val="24"/>
              </w:rPr>
            </w:pPr>
            <w:r>
              <w:rPr>
                <w:rFonts w:eastAsia="Times New Roman" w:cs="Times New Roman"/>
                <w:szCs w:val="24"/>
              </w:rPr>
              <w:t>Exploitation:</w:t>
            </w:r>
          </w:p>
        </w:tc>
        <w:tc>
          <w:tcPr>
            <w:tcW w:w="7179" w:type="dxa"/>
          </w:tcPr>
          <w:p w:rsidR="002B7C3A" w:rsidRPr="009B790E" w:rsidRDefault="002B7C3A" w:rsidP="002B7C3A">
            <w:pPr>
              <w:rPr>
                <w:szCs w:val="24"/>
              </w:rPr>
            </w:pPr>
            <w:r>
              <w:t>Misappropriation of the consumer’s property or intentionally taking unfair advantage of an adult's physical or financial resources for another consumer's personal or financial advantage by the use of undue influence, coercion, harassment, duress, deception, false representation or false pretense by a caretaker or another person</w:t>
            </w:r>
          </w:p>
        </w:tc>
      </w:tr>
      <w:tr w:rsidR="002B7C3A" w:rsidRPr="009B790E" w:rsidTr="002045E8">
        <w:tc>
          <w:tcPr>
            <w:tcW w:w="918" w:type="dxa"/>
          </w:tcPr>
          <w:p w:rsidR="002B7C3A" w:rsidRPr="009B790E" w:rsidRDefault="002B7C3A" w:rsidP="002045E8">
            <w:pPr>
              <w:rPr>
                <w:szCs w:val="24"/>
              </w:rPr>
            </w:pPr>
          </w:p>
        </w:tc>
        <w:tc>
          <w:tcPr>
            <w:tcW w:w="900" w:type="dxa"/>
          </w:tcPr>
          <w:p w:rsidR="002B7C3A" w:rsidRPr="009B790E" w:rsidRDefault="002B7C3A" w:rsidP="002045E8">
            <w:pPr>
              <w:rPr>
                <w:szCs w:val="24"/>
              </w:rPr>
            </w:pPr>
          </w:p>
        </w:tc>
        <w:tc>
          <w:tcPr>
            <w:tcW w:w="5601" w:type="dxa"/>
          </w:tcPr>
          <w:p w:rsidR="002B7C3A" w:rsidRDefault="002B7C3A" w:rsidP="002045E8">
            <w:pPr>
              <w:rPr>
                <w:rFonts w:eastAsia="Times New Roman" w:cs="Times New Roman"/>
                <w:szCs w:val="24"/>
              </w:rPr>
            </w:pPr>
            <w:r>
              <w:rPr>
                <w:rFonts w:eastAsia="Times New Roman" w:cs="Times New Roman"/>
                <w:szCs w:val="24"/>
              </w:rPr>
              <w:t>Fiduciary Abuse:</w:t>
            </w:r>
          </w:p>
        </w:tc>
        <w:tc>
          <w:tcPr>
            <w:tcW w:w="7179" w:type="dxa"/>
          </w:tcPr>
          <w:p w:rsidR="002B7C3A" w:rsidRDefault="002B7C3A" w:rsidP="002B7C3A">
            <w:r>
              <w:t>A situation in which any person who is the caretaker of, or who stands in a position of trust to, a consumer, takes, secretes, or appropriates their money or property, to any use or purpose not in the due and lawful execution of such person's trust or benefit.</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rFonts w:eastAsia="Times New Roman" w:cs="Times New Roman"/>
                <w:szCs w:val="24"/>
              </w:rPr>
              <w:t>Law Enforcement Involvement</w:t>
            </w:r>
            <w:r w:rsidR="002B7C3A">
              <w:rPr>
                <w:rFonts w:eastAsia="Times New Roman" w:cs="Times New Roman"/>
                <w:szCs w:val="24"/>
              </w:rPr>
              <w:t>:</w:t>
            </w:r>
          </w:p>
        </w:tc>
        <w:tc>
          <w:tcPr>
            <w:tcW w:w="7179" w:type="dxa"/>
          </w:tcPr>
          <w:p w:rsidR="002045E8" w:rsidRPr="009B790E" w:rsidRDefault="002B7C3A" w:rsidP="002045E8">
            <w:pPr>
              <w:rPr>
                <w:szCs w:val="24"/>
              </w:rPr>
            </w:pPr>
            <w:r>
              <w:rPr>
                <w:szCs w:val="24"/>
              </w:rPr>
              <w:t>Any communication or contact with a public office that is vested by law with the duty to maintain public order, make arrests for crimes and investigate criminal acts, whether that duty extends to all crimes or is limited to specific crimes.</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Misuse of Medications</w:t>
            </w:r>
            <w:r w:rsidR="002B7C3A">
              <w:rPr>
                <w:szCs w:val="24"/>
              </w:rPr>
              <w:t>:</w:t>
            </w:r>
          </w:p>
        </w:tc>
        <w:tc>
          <w:tcPr>
            <w:tcW w:w="7179" w:type="dxa"/>
          </w:tcPr>
          <w:p w:rsidR="002045E8" w:rsidRPr="009B790E" w:rsidRDefault="002045E8" w:rsidP="002045E8">
            <w:pPr>
              <w:rPr>
                <w:szCs w:val="24"/>
              </w:rPr>
            </w:pPr>
            <w:r w:rsidRPr="009B790E">
              <w:rPr>
                <w:rStyle w:val="instructiontext"/>
                <w:szCs w:val="24"/>
              </w:rPr>
              <w:t>The incorrect administration or mismanag</w:t>
            </w:r>
            <w:r w:rsidR="002B7C3A">
              <w:rPr>
                <w:rStyle w:val="instructiontext"/>
                <w:szCs w:val="24"/>
              </w:rPr>
              <w:t xml:space="preserve">ement of medication, by someone </w:t>
            </w:r>
            <w:r w:rsidRPr="009B790E">
              <w:rPr>
                <w:rStyle w:val="instructiontext"/>
                <w:szCs w:val="24"/>
              </w:rPr>
              <w:t>providing a CSP service which result in or could result in serious injury or illness to a consumer.</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rFonts w:eastAsia="Times New Roman" w:cs="Times New Roman"/>
                <w:szCs w:val="24"/>
              </w:rPr>
              <w:t>Natural Disaster</w:t>
            </w:r>
            <w:r w:rsidR="002B7C3A">
              <w:rPr>
                <w:rFonts w:eastAsia="Times New Roman" w:cs="Times New Roman"/>
                <w:szCs w:val="24"/>
              </w:rPr>
              <w:t>:</w:t>
            </w:r>
          </w:p>
        </w:tc>
        <w:tc>
          <w:tcPr>
            <w:tcW w:w="7179" w:type="dxa"/>
          </w:tcPr>
          <w:p w:rsidR="002045E8" w:rsidRPr="009B790E" w:rsidRDefault="002B7C3A" w:rsidP="002045E8">
            <w:pPr>
              <w:rPr>
                <w:szCs w:val="24"/>
              </w:rPr>
            </w:pPr>
            <w:r>
              <w:rPr>
                <w:szCs w:val="24"/>
              </w:rPr>
              <w:t>A natural event such as a flood, earthquake, or tornado that causes great damage or loss of life.</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Neglect</w:t>
            </w:r>
            <w:r w:rsidR="002B7C3A">
              <w:rPr>
                <w:szCs w:val="24"/>
              </w:rPr>
              <w:t>:</w:t>
            </w:r>
          </w:p>
        </w:tc>
        <w:tc>
          <w:tcPr>
            <w:tcW w:w="7179" w:type="dxa"/>
          </w:tcPr>
          <w:p w:rsidR="002045E8" w:rsidRPr="009B790E" w:rsidRDefault="002045E8" w:rsidP="002045E8">
            <w:pPr>
              <w:rPr>
                <w:szCs w:val="24"/>
              </w:rPr>
            </w:pPr>
            <w:r w:rsidRPr="009B790E">
              <w:rPr>
                <w:rStyle w:val="instructiontext"/>
                <w:szCs w:val="24"/>
              </w:rPr>
              <w:t>Neglect - The failure or omission by one's self, caretaker or another person with a duty to supply or to provide goods or services which are reasonably necessary to ensure safety and well-being and to avoid physical or mental harm or illness.</w:t>
            </w:r>
          </w:p>
        </w:tc>
      </w:tr>
      <w:tr w:rsidR="002B7C3A" w:rsidRPr="009B790E" w:rsidTr="002045E8">
        <w:tc>
          <w:tcPr>
            <w:tcW w:w="918" w:type="dxa"/>
          </w:tcPr>
          <w:p w:rsidR="002B7C3A" w:rsidRPr="009B790E" w:rsidRDefault="002B7C3A" w:rsidP="002045E8">
            <w:pPr>
              <w:rPr>
                <w:szCs w:val="24"/>
              </w:rPr>
            </w:pPr>
          </w:p>
        </w:tc>
        <w:tc>
          <w:tcPr>
            <w:tcW w:w="900" w:type="dxa"/>
          </w:tcPr>
          <w:p w:rsidR="002B7C3A" w:rsidRPr="009B790E" w:rsidRDefault="002B7C3A" w:rsidP="002045E8">
            <w:pPr>
              <w:rPr>
                <w:szCs w:val="24"/>
              </w:rPr>
            </w:pPr>
          </w:p>
        </w:tc>
        <w:tc>
          <w:tcPr>
            <w:tcW w:w="5601" w:type="dxa"/>
          </w:tcPr>
          <w:p w:rsidR="002B7C3A" w:rsidRDefault="006D3FFA" w:rsidP="006D3FFA">
            <w:pPr>
              <w:rPr>
                <w:szCs w:val="24"/>
              </w:rPr>
            </w:pPr>
            <w:r>
              <w:rPr>
                <w:szCs w:val="24"/>
              </w:rPr>
              <w:t>Seclusion</w:t>
            </w:r>
            <w:r w:rsidR="002B7C3A">
              <w:rPr>
                <w:szCs w:val="24"/>
              </w:rPr>
              <w:t>:</w:t>
            </w:r>
          </w:p>
        </w:tc>
        <w:tc>
          <w:tcPr>
            <w:tcW w:w="7179" w:type="dxa"/>
          </w:tcPr>
          <w:p w:rsidR="002B7C3A" w:rsidRDefault="002B7C3A" w:rsidP="002B7C3A">
            <w:pPr>
              <w:rPr>
                <w:rStyle w:val="instructiontext"/>
                <w:szCs w:val="24"/>
              </w:rPr>
            </w:pPr>
            <w:r>
              <w:rPr>
                <w:rStyle w:val="instructiontext"/>
                <w:szCs w:val="24"/>
              </w:rPr>
              <w:t xml:space="preserve">The involuntary confinement of a consumer alone in a room or area from which the consumer is physically prevented from leaving. </w:t>
            </w:r>
          </w:p>
        </w:tc>
      </w:tr>
      <w:tr w:rsidR="002B7C3A" w:rsidRPr="009B790E" w:rsidTr="002045E8">
        <w:tc>
          <w:tcPr>
            <w:tcW w:w="918" w:type="dxa"/>
          </w:tcPr>
          <w:p w:rsidR="002B7C3A" w:rsidRPr="009B790E" w:rsidRDefault="002B7C3A" w:rsidP="002045E8">
            <w:pPr>
              <w:rPr>
                <w:szCs w:val="24"/>
              </w:rPr>
            </w:pPr>
          </w:p>
        </w:tc>
        <w:tc>
          <w:tcPr>
            <w:tcW w:w="900" w:type="dxa"/>
          </w:tcPr>
          <w:p w:rsidR="002B7C3A" w:rsidRPr="009B790E" w:rsidRDefault="002B7C3A" w:rsidP="002045E8">
            <w:pPr>
              <w:rPr>
                <w:szCs w:val="24"/>
              </w:rPr>
            </w:pPr>
          </w:p>
        </w:tc>
        <w:tc>
          <w:tcPr>
            <w:tcW w:w="5601" w:type="dxa"/>
          </w:tcPr>
          <w:p w:rsidR="002B7C3A" w:rsidRPr="009B790E" w:rsidRDefault="006D3FFA" w:rsidP="002B7C3A">
            <w:pPr>
              <w:rPr>
                <w:szCs w:val="24"/>
              </w:rPr>
            </w:pPr>
            <w:r>
              <w:rPr>
                <w:szCs w:val="24"/>
              </w:rPr>
              <w:t>Restraint</w:t>
            </w:r>
            <w:r w:rsidR="002B7C3A">
              <w:rPr>
                <w:szCs w:val="24"/>
              </w:rPr>
              <w:t>:</w:t>
            </w:r>
          </w:p>
        </w:tc>
        <w:tc>
          <w:tcPr>
            <w:tcW w:w="7179" w:type="dxa"/>
          </w:tcPr>
          <w:p w:rsidR="002B7C3A" w:rsidRPr="009B790E" w:rsidRDefault="002B7C3A" w:rsidP="002B7C3A">
            <w:pPr>
              <w:rPr>
                <w:rStyle w:val="instructiontext"/>
                <w:szCs w:val="24"/>
              </w:rPr>
            </w:pPr>
            <w:r>
              <w:rPr>
                <w:rStyle w:val="instructiontext"/>
                <w:szCs w:val="24"/>
              </w:rPr>
              <w:t>Any bodily force, device/object, or chemical used to substantially limit a person’s movement.</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Serious Injury:</w:t>
            </w:r>
          </w:p>
        </w:tc>
        <w:tc>
          <w:tcPr>
            <w:tcW w:w="7179" w:type="dxa"/>
          </w:tcPr>
          <w:p w:rsidR="002045E8" w:rsidRPr="009B790E" w:rsidRDefault="002045E8" w:rsidP="002045E8">
            <w:pPr>
              <w:rPr>
                <w:szCs w:val="24"/>
              </w:rPr>
            </w:pPr>
            <w:r w:rsidRPr="009B790E">
              <w:rPr>
                <w:rStyle w:val="instructiontext"/>
                <w:szCs w:val="24"/>
              </w:rPr>
              <w:t>An unexpected occurrence involving the significant impairment of the physical condition of a consumer. Serious injury specifically includes loss of limb or function.</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Suicide</w:t>
            </w:r>
            <w:r w:rsidR="002B7C3A">
              <w:rPr>
                <w:szCs w:val="24"/>
              </w:rPr>
              <w:t>:</w:t>
            </w:r>
          </w:p>
        </w:tc>
        <w:tc>
          <w:tcPr>
            <w:tcW w:w="7179" w:type="dxa"/>
          </w:tcPr>
          <w:p w:rsidR="002045E8" w:rsidRPr="009B790E" w:rsidRDefault="009B790E" w:rsidP="002045E8">
            <w:pPr>
              <w:rPr>
                <w:szCs w:val="24"/>
              </w:rPr>
            </w:pPr>
            <w:r w:rsidRPr="009B790E">
              <w:rPr>
                <w:rStyle w:val="instructiontext"/>
                <w:szCs w:val="24"/>
              </w:rPr>
              <w:t>Death caused by self-directed injurious behavior with any intent to die as a result of the behavior.</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szCs w:val="24"/>
              </w:rPr>
              <w:t>Suicide Attempt</w:t>
            </w:r>
            <w:r w:rsidR="002B7C3A">
              <w:rPr>
                <w:szCs w:val="24"/>
              </w:rPr>
              <w:t>:</w:t>
            </w:r>
          </w:p>
        </w:tc>
        <w:tc>
          <w:tcPr>
            <w:tcW w:w="7179" w:type="dxa"/>
          </w:tcPr>
          <w:p w:rsidR="002045E8" w:rsidRPr="009B790E" w:rsidRDefault="009B790E" w:rsidP="002045E8">
            <w:pPr>
              <w:rPr>
                <w:szCs w:val="24"/>
              </w:rPr>
            </w:pPr>
            <w:r w:rsidRPr="009B790E">
              <w:rPr>
                <w:rStyle w:val="instructiontext"/>
                <w:szCs w:val="24"/>
              </w:rPr>
              <w:t>A non-fatal self-directed potentially injurious behavior with any intent to die as a result of the behavior. A suicide attempt may or may not result in injury.</w:t>
            </w:r>
          </w:p>
        </w:tc>
      </w:tr>
      <w:tr w:rsidR="002045E8" w:rsidRPr="009B790E" w:rsidTr="002045E8">
        <w:tc>
          <w:tcPr>
            <w:tcW w:w="918" w:type="dxa"/>
          </w:tcPr>
          <w:p w:rsidR="002045E8" w:rsidRPr="009B790E" w:rsidRDefault="002045E8" w:rsidP="002045E8">
            <w:pPr>
              <w:rPr>
                <w:szCs w:val="24"/>
              </w:rPr>
            </w:pPr>
          </w:p>
        </w:tc>
        <w:tc>
          <w:tcPr>
            <w:tcW w:w="900" w:type="dxa"/>
          </w:tcPr>
          <w:p w:rsidR="002045E8" w:rsidRPr="009B790E" w:rsidRDefault="002045E8" w:rsidP="002045E8">
            <w:pPr>
              <w:rPr>
                <w:szCs w:val="24"/>
              </w:rPr>
            </w:pPr>
          </w:p>
        </w:tc>
        <w:tc>
          <w:tcPr>
            <w:tcW w:w="5601" w:type="dxa"/>
          </w:tcPr>
          <w:p w:rsidR="002045E8" w:rsidRPr="009B790E" w:rsidRDefault="002045E8" w:rsidP="002045E8">
            <w:pPr>
              <w:rPr>
                <w:szCs w:val="24"/>
              </w:rPr>
            </w:pPr>
            <w:r w:rsidRPr="009B790E">
              <w:rPr>
                <w:rFonts w:eastAsia="Times New Roman" w:cs="Times New Roman"/>
                <w:szCs w:val="24"/>
              </w:rPr>
              <w:t>Other</w:t>
            </w:r>
            <w:r w:rsidR="002B7C3A">
              <w:rPr>
                <w:rFonts w:eastAsia="Times New Roman" w:cs="Times New Roman"/>
                <w:szCs w:val="24"/>
              </w:rPr>
              <w:t>,</w:t>
            </w:r>
            <w:r w:rsidRPr="009B790E">
              <w:rPr>
                <w:rFonts w:eastAsia="Times New Roman" w:cs="Times New Roman"/>
                <w:szCs w:val="24"/>
              </w:rPr>
              <w:t xml:space="preserve"> with an Explanation</w:t>
            </w:r>
          </w:p>
        </w:tc>
        <w:tc>
          <w:tcPr>
            <w:tcW w:w="7179" w:type="dxa"/>
          </w:tcPr>
          <w:p w:rsidR="002045E8" w:rsidRPr="009B790E" w:rsidRDefault="002045E8" w:rsidP="002045E8">
            <w:pPr>
              <w:rPr>
                <w:szCs w:val="24"/>
              </w:rPr>
            </w:pPr>
          </w:p>
        </w:tc>
      </w:tr>
    </w:tbl>
    <w:p w:rsidR="00BF0C95" w:rsidRDefault="00BF0C95" w:rsidP="002045E8"/>
    <w:sectPr w:rsidR="00BF0C95" w:rsidSect="002045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E8"/>
    <w:rsid w:val="002045E8"/>
    <w:rsid w:val="002B7C3A"/>
    <w:rsid w:val="003145F3"/>
    <w:rsid w:val="00430FEE"/>
    <w:rsid w:val="006D3FFA"/>
    <w:rsid w:val="00754946"/>
    <w:rsid w:val="007625A6"/>
    <w:rsid w:val="009B790E"/>
    <w:rsid w:val="00A00162"/>
    <w:rsid w:val="00BF0C95"/>
    <w:rsid w:val="00DA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E5895-F175-421C-8D9B-8909D078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0162"/>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3optionallabel">
    <w:name w:val="t13optionallabel"/>
    <w:basedOn w:val="DefaultParagraphFont"/>
    <w:rsid w:val="002045E8"/>
  </w:style>
  <w:style w:type="character" w:styleId="Hyperlink">
    <w:name w:val="Hyperlink"/>
    <w:basedOn w:val="DefaultParagraphFont"/>
    <w:uiPriority w:val="99"/>
    <w:semiHidden/>
    <w:unhideWhenUsed/>
    <w:rsid w:val="002045E8"/>
    <w:rPr>
      <w:color w:val="0000FF"/>
      <w:u w:val="single"/>
    </w:rPr>
  </w:style>
  <w:style w:type="character" w:customStyle="1" w:styleId="instructiontext">
    <w:name w:val="instructiontext"/>
    <w:basedOn w:val="DefaultParagraphFont"/>
    <w:rsid w:val="002045E8"/>
  </w:style>
  <w:style w:type="paragraph" w:customStyle="1" w:styleId="ksastat">
    <w:name w:val="ksa_stat"/>
    <w:basedOn w:val="Normal"/>
    <w:rsid w:val="002B7C3A"/>
    <w:pPr>
      <w:spacing w:after="100" w:afterAutospacing="1" w:line="240" w:lineRule="auto"/>
      <w:ind w:firstLine="396"/>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54876">
      <w:bodyDiv w:val="1"/>
      <w:marLeft w:val="0"/>
      <w:marRight w:val="0"/>
      <w:marTop w:val="0"/>
      <w:marBottom w:val="0"/>
      <w:divBdr>
        <w:top w:val="none" w:sz="0" w:space="0" w:color="auto"/>
        <w:left w:val="none" w:sz="0" w:space="0" w:color="auto"/>
        <w:bottom w:val="none" w:sz="0" w:space="0" w:color="auto"/>
        <w:right w:val="none" w:sz="0" w:space="0" w:color="auto"/>
      </w:divBdr>
      <w:divsChild>
        <w:div w:id="918099510">
          <w:marLeft w:val="0"/>
          <w:marRight w:val="1"/>
          <w:marTop w:val="1"/>
          <w:marBottom w:val="0"/>
          <w:divBdr>
            <w:top w:val="none" w:sz="0" w:space="0" w:color="auto"/>
            <w:left w:val="none" w:sz="0" w:space="0" w:color="auto"/>
            <w:bottom w:val="none" w:sz="0" w:space="0" w:color="auto"/>
            <w:right w:val="none" w:sz="0" w:space="0" w:color="auto"/>
          </w:divBdr>
          <w:divsChild>
            <w:div w:id="1159005089">
              <w:marLeft w:val="0"/>
              <w:marRight w:val="0"/>
              <w:marTop w:val="0"/>
              <w:marBottom w:val="0"/>
              <w:divBdr>
                <w:top w:val="none" w:sz="0" w:space="0" w:color="auto"/>
                <w:left w:val="none" w:sz="0" w:space="0" w:color="auto"/>
                <w:bottom w:val="none" w:sz="0" w:space="0" w:color="auto"/>
                <w:right w:val="none" w:sz="0" w:space="0" w:color="auto"/>
              </w:divBdr>
              <w:divsChild>
                <w:div w:id="361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Kansas Department on Aging</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 Zimmerman</dc:creator>
  <cp:lastModifiedBy>Billie Padilla</cp:lastModifiedBy>
  <cp:revision>2</cp:revision>
  <dcterms:created xsi:type="dcterms:W3CDTF">2016-10-14T17:05:00Z</dcterms:created>
  <dcterms:modified xsi:type="dcterms:W3CDTF">2016-10-14T17:05:00Z</dcterms:modified>
</cp:coreProperties>
</file>